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2-1208-2003/2024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Таскаева Е.А.,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Клыковой Л.П.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и земельных отношений администрации города Нефтеюганска к </w:t>
      </w:r>
      <w:r>
        <w:rPr>
          <w:rFonts w:ascii="Times New Roman" w:eastAsia="Times New Roman" w:hAnsi="Times New Roman" w:cs="Times New Roman"/>
          <w:sz w:val="28"/>
          <w:szCs w:val="28"/>
        </w:rPr>
        <w:t>Ораевой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9rplc-7"/>
          <w:rFonts w:ascii="Times New Roman" w:eastAsia="Times New Roman" w:hAnsi="Times New Roman" w:cs="Times New Roman"/>
          <w:sz w:val="28"/>
          <w:szCs w:val="28"/>
        </w:rPr>
        <w:t>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неосновательного обогащения, процентов за пользование чужими денежными средствами,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 ст. 194-199 Гражданского процессуального кодекса РФ,</w:t>
      </w:r>
    </w:p>
    <w:p>
      <w:pPr>
        <w:tabs>
          <w:tab w:val="left" w:pos="82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и земельных отношений администрации города Нефтеюганска к </w:t>
      </w:r>
      <w:r>
        <w:rPr>
          <w:rFonts w:ascii="Times New Roman" w:eastAsia="Times New Roman" w:hAnsi="Times New Roman" w:cs="Times New Roman"/>
          <w:sz w:val="28"/>
          <w:szCs w:val="28"/>
        </w:rPr>
        <w:t>Ораевой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9rplc-9"/>
          <w:rFonts w:ascii="Times New Roman" w:eastAsia="Times New Roman" w:hAnsi="Times New Roman" w:cs="Times New Roman"/>
          <w:sz w:val="28"/>
          <w:szCs w:val="28"/>
        </w:rPr>
        <w:t>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неосновательного обогащения,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Ораевой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0rplc-10"/>
          <w:rFonts w:ascii="Times New Roman" w:eastAsia="Times New Roman" w:hAnsi="Times New Roman" w:cs="Times New Roman"/>
          <w:sz w:val="28"/>
          <w:szCs w:val="28"/>
        </w:rPr>
        <w:t>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градостроительства и земельных отношений администрации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неосновательное обогащение за пользование земельным участком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½ доли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17 августа 2016 года по 02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2469 рублей 88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проценты за пользование чужими денежными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11 октября 2016 года по 20 февраля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812 рублей 82 копейки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всего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282 (три тысячи двести восемьдесят два) рубля 70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Ораевой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0rplc-22"/>
          <w:rFonts w:ascii="Times New Roman" w:eastAsia="Times New Roman" w:hAnsi="Times New Roman" w:cs="Times New Roman"/>
          <w:sz w:val="28"/>
          <w:szCs w:val="28"/>
        </w:rPr>
        <w:t>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градостроительства и земельных отношений администрации города Нефтеюганска,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ачиная с </w:t>
      </w:r>
      <w:r>
        <w:rPr>
          <w:rFonts w:ascii="Times New Roman" w:eastAsia="Times New Roman" w:hAnsi="Times New Roman" w:cs="Times New Roman"/>
          <w:sz w:val="28"/>
          <w:szCs w:val="28"/>
        </w:rPr>
        <w:t>21 февраля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 чужими денежными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395 ГК РФ</w:t>
      </w:r>
      <w:r>
        <w:rPr>
          <w:rFonts w:ascii="Times New Roman" w:eastAsia="Times New Roman" w:hAnsi="Times New Roman" w:cs="Times New Roman"/>
          <w:sz w:val="28"/>
          <w:szCs w:val="28"/>
        </w:rPr>
        <w:t>, на сумму неосновательного обогащения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фактического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Ораевой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0rplc-25"/>
          <w:rFonts w:ascii="Times New Roman" w:eastAsia="Times New Roman" w:hAnsi="Times New Roman" w:cs="Times New Roman"/>
          <w:sz w:val="28"/>
          <w:szCs w:val="28"/>
        </w:rPr>
        <w:t>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доход бюджета города Нефтеюганска 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>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19rplc-9">
    <w:name w:val="cat-UserDefined grp-19 rplc-9"/>
    <w:basedOn w:val="DefaultParagraphFont"/>
  </w:style>
  <w:style w:type="character" w:customStyle="1" w:styleId="cat-UserDefinedgrp-20rplc-10">
    <w:name w:val="cat-UserDefined grp-20 rplc-10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UserDefinedgrp-20rplc-22">
    <w:name w:val="cat-UserDefined grp-20 rplc-22"/>
    <w:basedOn w:val="DefaultParagraphFont"/>
  </w:style>
  <w:style w:type="character" w:customStyle="1" w:styleId="cat-UserDefinedgrp-20rplc-25">
    <w:name w:val="cat-UserDefined grp-20 rplc-25"/>
    <w:basedOn w:val="DefaultParagraphFont"/>
  </w:style>
  <w:style w:type="character" w:customStyle="1" w:styleId="cat-UserDefinedgrp-22rplc-28">
    <w:name w:val="cat-UserDefined grp-22 rplc-28"/>
    <w:basedOn w:val="DefaultParagraphFont"/>
  </w:style>
  <w:style w:type="character" w:customStyle="1" w:styleId="cat-UserDefinedgrp-23rplc-31">
    <w:name w:val="cat-UserDefined grp-2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